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C16B2" w:rsidRDefault="000A65CB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НИЖНЕГРАЙВОРОНСКОГО</w:t>
      </w:r>
      <w:r w:rsidR="002C16B2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   КУРСКОЙ  ОБЛАСТИ</w:t>
      </w: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C16B2" w:rsidRDefault="002C16B2" w:rsidP="002C16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02 февраля  2024  года       №</w:t>
      </w:r>
      <w:r w:rsidR="00CC7DF5">
        <w:rPr>
          <w:rFonts w:ascii="Times New Roman" w:hAnsi="Times New Roman"/>
          <w:b/>
          <w:sz w:val="28"/>
          <w:szCs w:val="28"/>
        </w:rPr>
        <w:t>0</w:t>
      </w:r>
      <w:r w:rsidR="000A65CB">
        <w:rPr>
          <w:rFonts w:ascii="Times New Roman" w:hAnsi="Times New Roman"/>
          <w:b/>
          <w:sz w:val="28"/>
          <w:szCs w:val="28"/>
        </w:rPr>
        <w:t>1</w:t>
      </w:r>
    </w:p>
    <w:p w:rsidR="002C16B2" w:rsidRDefault="002C16B2" w:rsidP="002C16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6B2" w:rsidRDefault="002C16B2" w:rsidP="002C1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16B2" w:rsidRDefault="002C16B2" w:rsidP="002C16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Во исполнение  Федерального закона от  12 января 1996 года № 8-ФЗ «О погребении и похоронном деле»,   и в соответствии с Постановлением Правит</w:t>
      </w:r>
      <w:r w:rsidR="006C0008">
        <w:rPr>
          <w:rFonts w:ascii="Times New Roman" w:hAnsi="Times New Roman"/>
          <w:sz w:val="24"/>
          <w:szCs w:val="24"/>
        </w:rPr>
        <w:t xml:space="preserve">ельства РФ от 23.01.2024 г. </w:t>
      </w:r>
      <w:r>
        <w:rPr>
          <w:rFonts w:ascii="Times New Roman" w:hAnsi="Times New Roman"/>
          <w:sz w:val="24"/>
          <w:szCs w:val="24"/>
        </w:rPr>
        <w:t>№</w:t>
      </w:r>
      <w:r w:rsidR="006C0008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  «Об утверждении коэффициента индексации выплат, пособий и компенсаций в 2024 году», Собрание депутатов  </w:t>
      </w:r>
      <w:proofErr w:type="spellStart"/>
      <w:r w:rsidR="000A65CB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Советского района  </w:t>
      </w:r>
      <w:r>
        <w:rPr>
          <w:rFonts w:ascii="Times New Roman" w:hAnsi="Times New Roman"/>
          <w:b/>
          <w:sz w:val="24"/>
          <w:szCs w:val="24"/>
        </w:rPr>
        <w:t>РЕШИЛО:</w:t>
      </w: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1.Утвердить тарифы на ритуальные услуги, предоставляемые в соответствии со ст.9</w:t>
      </w:r>
      <w:r w:rsidR="006C0008">
        <w:rPr>
          <w:rFonts w:ascii="Times New Roman" w:hAnsi="Times New Roman"/>
          <w:sz w:val="24"/>
          <w:szCs w:val="24"/>
        </w:rPr>
        <w:t>, ст. 12</w:t>
      </w:r>
      <w:r>
        <w:rPr>
          <w:rFonts w:ascii="Times New Roman" w:hAnsi="Times New Roman"/>
          <w:sz w:val="24"/>
          <w:szCs w:val="24"/>
        </w:rPr>
        <w:t xml:space="preserve"> Федерального закона от 12.01.1996  г. № 8-ФЗ «О погребении и похоронном деле» с учетом стоимости гарантированного перечня </w:t>
      </w:r>
      <w:proofErr w:type="gramStart"/>
      <w:r>
        <w:rPr>
          <w:rFonts w:ascii="Times New Roman" w:hAnsi="Times New Roman"/>
          <w:sz w:val="24"/>
          <w:szCs w:val="24"/>
        </w:rPr>
        <w:t>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по погребению  </w:t>
      </w:r>
      <w:r w:rsidR="006C0008">
        <w:rPr>
          <w:rFonts w:ascii="Times New Roman" w:hAnsi="Times New Roman"/>
          <w:sz w:val="24"/>
          <w:szCs w:val="24"/>
        </w:rPr>
        <w:t xml:space="preserve">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</w:t>
      </w:r>
      <w:r>
        <w:rPr>
          <w:rFonts w:ascii="Times New Roman" w:hAnsi="Times New Roman"/>
          <w:sz w:val="24"/>
          <w:szCs w:val="24"/>
        </w:rPr>
        <w:t>(приложение 1</w:t>
      </w:r>
      <w:r w:rsidR="00CE04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C00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.Решение Собрания депутатов </w:t>
      </w:r>
      <w:proofErr w:type="spellStart"/>
      <w:r w:rsidR="000A65CB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Советского района</w:t>
      </w:r>
      <w:r w:rsidR="006C0008">
        <w:rPr>
          <w:rFonts w:ascii="Times New Roman" w:hAnsi="Times New Roman"/>
          <w:sz w:val="24"/>
          <w:szCs w:val="24"/>
        </w:rPr>
        <w:t xml:space="preserve">  Курской области от  02.02.2023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0A65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C00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.Решение вступает в силу со дня его официального опубликования (обнародования)  и распространяется  на  правоотношения, возникшие   с 1 февраля  202</w:t>
      </w:r>
      <w:r w:rsidR="006C00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года.</w:t>
      </w: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2C16B2" w:rsidRDefault="000A65CB" w:rsidP="006C0008">
      <w:pPr>
        <w:pStyle w:val="a3"/>
        <w:tabs>
          <w:tab w:val="left" w:pos="586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r w:rsidR="002C16B2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</w:t>
      </w:r>
      <w:r w:rsidR="006C0008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0A65CB">
        <w:rPr>
          <w:rFonts w:ascii="Times New Roman" w:hAnsi="Times New Roman"/>
          <w:sz w:val="24"/>
          <w:szCs w:val="24"/>
        </w:rPr>
        <w:t>Е.И.Нечепаева</w:t>
      </w:r>
      <w:proofErr w:type="spellEnd"/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A65CB">
        <w:rPr>
          <w:rFonts w:ascii="Times New Roman" w:hAnsi="Times New Roman"/>
          <w:sz w:val="24"/>
          <w:szCs w:val="24"/>
        </w:rPr>
        <w:t>Нижнеграйворонского</w:t>
      </w:r>
      <w:r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2C16B2" w:rsidRDefault="002C16B2" w:rsidP="002C16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</w:t>
      </w:r>
      <w:r w:rsidR="000A65CB">
        <w:rPr>
          <w:rFonts w:ascii="Times New Roman" w:hAnsi="Times New Roman"/>
          <w:sz w:val="24"/>
          <w:szCs w:val="24"/>
        </w:rPr>
        <w:t>В.Н.Плеханов</w:t>
      </w:r>
    </w:p>
    <w:p w:rsidR="002C16B2" w:rsidRDefault="002C16B2" w:rsidP="002C16B2">
      <w:pPr>
        <w:rPr>
          <w:rFonts w:ascii="Times New Roman" w:hAnsi="Times New Roman"/>
          <w:sz w:val="24"/>
          <w:szCs w:val="24"/>
        </w:rPr>
      </w:pPr>
    </w:p>
    <w:p w:rsidR="002C16B2" w:rsidRDefault="002C16B2" w:rsidP="002C16B2">
      <w:pPr>
        <w:rPr>
          <w:rFonts w:ascii="Calibri" w:hAnsi="Calibri"/>
          <w:sz w:val="24"/>
          <w:szCs w:val="24"/>
        </w:rPr>
      </w:pPr>
    </w:p>
    <w:p w:rsidR="002C16B2" w:rsidRDefault="002C16B2" w:rsidP="002C16B2">
      <w:pPr>
        <w:rPr>
          <w:sz w:val="24"/>
          <w:szCs w:val="24"/>
        </w:rPr>
      </w:pPr>
    </w:p>
    <w:p w:rsidR="002C16B2" w:rsidRDefault="002C16B2" w:rsidP="002C16B2">
      <w:pPr>
        <w:rPr>
          <w:sz w:val="24"/>
          <w:szCs w:val="24"/>
        </w:rPr>
      </w:pPr>
    </w:p>
    <w:p w:rsidR="002C16B2" w:rsidRDefault="002C16B2" w:rsidP="002C16B2">
      <w:pPr>
        <w:rPr>
          <w:sz w:val="24"/>
          <w:szCs w:val="24"/>
        </w:rPr>
      </w:pPr>
    </w:p>
    <w:p w:rsidR="002C16B2" w:rsidRDefault="002C16B2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0008" w:rsidRDefault="006C0008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0008" w:rsidRDefault="006C0008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0008" w:rsidRDefault="006C0008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0008" w:rsidRDefault="006C0008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0008" w:rsidRDefault="006C0008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F2931" w:rsidRDefault="002C16B2" w:rsidP="002C16B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3F2931" w:rsidRDefault="003F2931" w:rsidP="002C16B2">
      <w:pPr>
        <w:pStyle w:val="a3"/>
        <w:jc w:val="right"/>
        <w:rPr>
          <w:rFonts w:ascii="Times New Roman" w:hAnsi="Times New Roman"/>
        </w:rPr>
      </w:pPr>
    </w:p>
    <w:p w:rsidR="003F2931" w:rsidRDefault="003F2931" w:rsidP="002C16B2">
      <w:pPr>
        <w:pStyle w:val="a3"/>
        <w:jc w:val="right"/>
        <w:rPr>
          <w:rFonts w:ascii="Times New Roman" w:hAnsi="Times New Roman"/>
        </w:rPr>
      </w:pPr>
    </w:p>
    <w:p w:rsidR="003F2931" w:rsidRDefault="003F2931" w:rsidP="002C16B2">
      <w:pPr>
        <w:pStyle w:val="a3"/>
        <w:jc w:val="right"/>
        <w:rPr>
          <w:rFonts w:ascii="Times New Roman" w:hAnsi="Times New Roman"/>
        </w:rPr>
      </w:pPr>
    </w:p>
    <w:p w:rsidR="003F2931" w:rsidRDefault="003F2931" w:rsidP="002C16B2">
      <w:pPr>
        <w:pStyle w:val="a3"/>
        <w:jc w:val="right"/>
        <w:rPr>
          <w:rFonts w:ascii="Times New Roman" w:hAnsi="Times New Roman"/>
        </w:rPr>
      </w:pPr>
    </w:p>
    <w:p w:rsidR="003F2931" w:rsidRDefault="003F2931" w:rsidP="002C16B2">
      <w:pPr>
        <w:pStyle w:val="a3"/>
        <w:jc w:val="right"/>
        <w:rPr>
          <w:rFonts w:ascii="Times New Roman" w:hAnsi="Times New Roman"/>
        </w:rPr>
      </w:pPr>
    </w:p>
    <w:p w:rsidR="002C16B2" w:rsidRDefault="002C16B2" w:rsidP="002C16B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2C16B2" w:rsidRDefault="002C16B2" w:rsidP="002C16B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</w:p>
    <w:p w:rsidR="002C16B2" w:rsidRDefault="000A65CB" w:rsidP="002C16B2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Нижнеграйворонского</w:t>
      </w:r>
      <w:proofErr w:type="spellEnd"/>
      <w:r w:rsidR="002C16B2">
        <w:rPr>
          <w:rFonts w:ascii="Times New Roman" w:hAnsi="Times New Roman"/>
        </w:rPr>
        <w:t xml:space="preserve"> сельсовета</w:t>
      </w:r>
    </w:p>
    <w:p w:rsidR="002C16B2" w:rsidRDefault="002C16B2" w:rsidP="002C16B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Советского района Курской области</w:t>
      </w:r>
    </w:p>
    <w:p w:rsidR="002C16B2" w:rsidRDefault="002C16B2" w:rsidP="002C16B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</w:t>
      </w:r>
      <w:r w:rsidR="006C0008">
        <w:rPr>
          <w:rFonts w:ascii="Times New Roman" w:hAnsi="Times New Roman"/>
        </w:rPr>
        <w:t>2</w:t>
      </w:r>
      <w:r>
        <w:rPr>
          <w:rFonts w:ascii="Times New Roman" w:hAnsi="Times New Roman"/>
        </w:rPr>
        <w:t>.02.202</w:t>
      </w:r>
      <w:r w:rsidR="006C00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 № </w:t>
      </w:r>
      <w:r w:rsidR="00CC7DF5">
        <w:rPr>
          <w:rFonts w:ascii="Times New Roman" w:hAnsi="Times New Roman"/>
        </w:rPr>
        <w:t>0</w:t>
      </w:r>
      <w:r w:rsidR="000A65CB">
        <w:rPr>
          <w:rFonts w:ascii="Times New Roman" w:hAnsi="Times New Roman"/>
        </w:rPr>
        <w:t>1</w:t>
      </w:r>
    </w:p>
    <w:p w:rsidR="002C16B2" w:rsidRDefault="002C16B2" w:rsidP="002C16B2">
      <w:pPr>
        <w:pStyle w:val="a3"/>
        <w:jc w:val="right"/>
        <w:rPr>
          <w:rFonts w:ascii="Times New Roman" w:hAnsi="Times New Roman"/>
        </w:rPr>
      </w:pP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Тарифы</w:t>
      </w:r>
    </w:p>
    <w:p w:rsidR="002C16B2" w:rsidRDefault="002C16B2" w:rsidP="002C16B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ритуальные услуги, предоставляемые в соответствии  со ст. 9</w:t>
      </w:r>
      <w:r w:rsidR="003F2931">
        <w:rPr>
          <w:rFonts w:ascii="Times New Roman" w:hAnsi="Times New Roman"/>
        </w:rPr>
        <w:t xml:space="preserve">, ст.12 </w:t>
      </w:r>
      <w:r>
        <w:rPr>
          <w:rFonts w:ascii="Times New Roman" w:hAnsi="Times New Roman"/>
        </w:rPr>
        <w:t xml:space="preserve"> Федерального закона                                                                                     от 12.01.1996 года №8 – ФЗ «О погребении и похоронном деле»</w:t>
      </w:r>
    </w:p>
    <w:p w:rsidR="002C16B2" w:rsidRDefault="002C16B2" w:rsidP="002C16B2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1365"/>
        <w:gridCol w:w="1173"/>
      </w:tblGrid>
      <w:tr w:rsidR="003F2931" w:rsidTr="00F123EE">
        <w:trPr>
          <w:trHeight w:val="93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Тариф, </w:t>
            </w:r>
          </w:p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Тариф, </w:t>
            </w:r>
          </w:p>
          <w:p w:rsidR="003F2931" w:rsidRDefault="003F2931" w:rsidP="003F2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3F2931" w:rsidTr="00F123EE">
        <w:trPr>
          <w:trHeight w:val="43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 w:rsidP="003F29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Ст.12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3138-15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2930-56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418-91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418-91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207-61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гроба и других предметов,</w:t>
            </w:r>
          </w:p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1151-12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1151-11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1151-12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1151-11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2510-90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2510-90</w:t>
            </w:r>
          </w:p>
        </w:tc>
      </w:tr>
      <w:tr w:rsidR="003F293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>
              <w:rPr>
                <w:rFonts w:ascii="Times New Roman" w:hAnsi="Times New Roman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Default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8370-20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Default="003F2931" w:rsidP="003F29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8370-20</w:t>
            </w:r>
          </w:p>
        </w:tc>
      </w:tr>
    </w:tbl>
    <w:p w:rsidR="002C16B2" w:rsidRDefault="002C16B2" w:rsidP="003F293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2C16B2" w:rsidRDefault="002C16B2" w:rsidP="002C16B2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2C16B2" w:rsidRDefault="002C16B2" w:rsidP="002C16B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ребенка  по истечении 154  дней беременности.</w:t>
      </w:r>
    </w:p>
    <w:p w:rsidR="002C16B2" w:rsidRDefault="002C16B2" w:rsidP="002C16B2">
      <w:pPr>
        <w:pStyle w:val="a3"/>
        <w:rPr>
          <w:rFonts w:ascii="Times New Roman" w:hAnsi="Times New Roman"/>
        </w:rPr>
      </w:pP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 комитета по тарифам</w:t>
      </w: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ценам Курской области                                                     ____________________С.В. Токарев</w:t>
      </w:r>
    </w:p>
    <w:p w:rsidR="002C16B2" w:rsidRDefault="002C16B2" w:rsidP="002C16B2">
      <w:pPr>
        <w:pStyle w:val="a3"/>
        <w:rPr>
          <w:rFonts w:ascii="Times New Roman" w:hAnsi="Times New Roman"/>
        </w:rPr>
      </w:pPr>
    </w:p>
    <w:p w:rsidR="002C16B2" w:rsidRDefault="002C16B2" w:rsidP="002C16B2">
      <w:pPr>
        <w:pStyle w:val="a3"/>
        <w:jc w:val="both"/>
        <w:rPr>
          <w:rFonts w:ascii="Times New Roman" w:hAnsi="Times New Roman"/>
        </w:rPr>
      </w:pPr>
    </w:p>
    <w:p w:rsidR="002C16B2" w:rsidRDefault="002C16B2" w:rsidP="003F2931">
      <w:pPr>
        <w:pStyle w:val="a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2C16B2" w:rsidRDefault="002C16B2" w:rsidP="003F2931">
      <w:pPr>
        <w:pStyle w:val="a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2C16B2" w:rsidRDefault="002C16B2" w:rsidP="003F2931">
      <w:pPr>
        <w:pStyle w:val="a3"/>
        <w:contextualSpacing/>
        <w:rPr>
          <w:rFonts w:ascii="Times New Roman" w:hAnsi="Times New Roman"/>
        </w:rPr>
      </w:pPr>
    </w:p>
    <w:p w:rsidR="0072759F" w:rsidRDefault="0072759F" w:rsidP="003F2931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управляющего Отделением Фонда</w:t>
      </w:r>
    </w:p>
    <w:p w:rsidR="0072759F" w:rsidRDefault="0072759F" w:rsidP="003F2931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пенсионного и социального страхования </w:t>
      </w:r>
    </w:p>
    <w:p w:rsidR="002C16B2" w:rsidRDefault="0072759F" w:rsidP="003F2931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  по Курской области   </w:t>
      </w:r>
      <w:r w:rsidR="002C16B2">
        <w:rPr>
          <w:rFonts w:ascii="Times New Roman" w:hAnsi="Times New Roman"/>
        </w:rPr>
        <w:t xml:space="preserve">           ___________________          Н.И. Овчинников          </w:t>
      </w:r>
    </w:p>
    <w:p w:rsidR="002C16B2" w:rsidRDefault="002C16B2" w:rsidP="003F2931">
      <w:pPr>
        <w:pStyle w:val="a3"/>
        <w:contextualSpacing/>
        <w:rPr>
          <w:rFonts w:ascii="Times New Roman" w:hAnsi="Times New Roman"/>
        </w:rPr>
      </w:pP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2C16B2" w:rsidRDefault="002C16B2" w:rsidP="002C16B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</w:t>
      </w:r>
      <w:r>
        <w:rPr>
          <w:rFonts w:ascii="Times New Roman" w:hAnsi="Times New Roman"/>
        </w:rPr>
        <w:lastRenderedPageBreak/>
        <w:t>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2C16B2" w:rsidRDefault="002C16B2" w:rsidP="002C16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2759F" w:rsidRDefault="0072759F" w:rsidP="007275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управляющего Отделением Фонда</w:t>
      </w:r>
    </w:p>
    <w:p w:rsidR="0072759F" w:rsidRDefault="0072759F" w:rsidP="007275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пенсионного и социального страхования </w:t>
      </w:r>
    </w:p>
    <w:p w:rsidR="002C16B2" w:rsidRDefault="0072759F" w:rsidP="007275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    по Курской области                             ________</w:t>
      </w:r>
      <w:r w:rsidR="002C16B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6C0008">
        <w:rPr>
          <w:rFonts w:ascii="Times New Roman" w:hAnsi="Times New Roman"/>
        </w:rPr>
        <w:t>Н.И. Овчиннико</w:t>
      </w:r>
      <w:r>
        <w:rPr>
          <w:rFonts w:ascii="Times New Roman" w:hAnsi="Times New Roman"/>
        </w:rPr>
        <w:t>в</w:t>
      </w:r>
    </w:p>
    <w:p w:rsidR="00FE1827" w:rsidRDefault="003F2931" w:rsidP="0072759F">
      <w:pPr>
        <w:pStyle w:val="a3"/>
      </w:pPr>
      <w:r>
        <w:rPr>
          <w:rFonts w:ascii="Times New Roman" w:hAnsi="Times New Roman"/>
        </w:rPr>
        <w:t xml:space="preserve"> </w:t>
      </w:r>
      <w:r w:rsidR="00CC7DF5">
        <w:rPr>
          <w:rFonts w:ascii="Times New Roman" w:hAnsi="Times New Roman"/>
        </w:rPr>
        <w:t xml:space="preserve">                </w:t>
      </w:r>
    </w:p>
    <w:sectPr w:rsidR="00FE1827" w:rsidSect="003F29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B2"/>
    <w:rsid w:val="00086CE9"/>
    <w:rsid w:val="000A65CB"/>
    <w:rsid w:val="00292E13"/>
    <w:rsid w:val="002C16B2"/>
    <w:rsid w:val="003F2931"/>
    <w:rsid w:val="005860C7"/>
    <w:rsid w:val="006C0008"/>
    <w:rsid w:val="0072759F"/>
    <w:rsid w:val="00CC7DF5"/>
    <w:rsid w:val="00CE041B"/>
    <w:rsid w:val="00EA1DC4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6B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ВоробьеваГА</cp:lastModifiedBy>
  <cp:revision>2</cp:revision>
  <cp:lastPrinted>2024-02-01T11:22:00Z</cp:lastPrinted>
  <dcterms:created xsi:type="dcterms:W3CDTF">2024-02-01T11:23:00Z</dcterms:created>
  <dcterms:modified xsi:type="dcterms:W3CDTF">2024-02-01T11:23:00Z</dcterms:modified>
</cp:coreProperties>
</file>